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《陕西教育年鉴（2024卷）》条目示例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【</w:t>
      </w:r>
      <w:r>
        <w:rPr>
          <w:rFonts w:hint="eastAsia" w:ascii="黑体" w:hAnsi="黑体" w:eastAsia="黑体" w:cs="黑体"/>
          <w:sz w:val="32"/>
          <w:szCs w:val="40"/>
        </w:rPr>
        <w:t>推进普通高中多样化特色发展意见发布</w:t>
      </w:r>
      <w:r>
        <w:rPr>
          <w:rFonts w:hint="eastAsia" w:ascii="仿宋_GB2312" w:hAnsi="仿宋_GB2312" w:eastAsia="仿宋_GB2312" w:cs="仿宋_GB2312"/>
          <w:sz w:val="32"/>
          <w:szCs w:val="40"/>
        </w:rPr>
        <w:t>】x月x日，xx市教育工作领导小组发布《xx市关于深化育人方式改革推进普通高中多样化特色发展的意见》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意见从构建全面培养体系、优化课程实施、创新教学组织管理、加强学生发展指导、深化考试评价招生制度改革、强化师资和条件保障、实施普通高中空间结构优化计划、实施普通高中多样化特色发展示范计划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实施普通高中多样化特色发展精准支持计划9个方面提出36条重点任务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旨在解决xx市普通高中教育质量不够均衡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办学特色不够鲜明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体制机制不够灵活等问题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EF81D-D290-4493-A62D-2A258C3512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32F4D9-3673-4EF0-A6A4-1583C890B1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E1101FB-8388-4BA0-B765-F848046279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hlYWFkMGVkOTQ5ZmE2YWRkMGZjMWYwNzI5YWMifQ=="/>
    <w:docVar w:name="KSO_WPS_MARK_KEY" w:val="5155d69a-3325-48e0-9eeb-b05c40319890"/>
  </w:docVars>
  <w:rsids>
    <w:rsidRoot w:val="756621B3"/>
    <w:rsid w:val="454E3338"/>
    <w:rsid w:val="756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0</Lines>
  <Paragraphs>0</Paragraphs>
  <TotalTime>13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2024-05-21T03:17:00Z</dcterms:created>
  <dc:creator>Andrea</dc:creator>
  <cp:lastModifiedBy>Andrea</cp:lastModifiedBy>
  <dcterms:modified xsi:type="dcterms:W3CDTF">2024-05-21T04:21:54Z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65C48F32FD4343B190AFAEB450F11D2A_11</vt:lpwstr>
  </property>
</Properties>
</file>